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5D77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</w:t>
      </w:r>
    </w:p>
    <w:p w14:paraId="3F028F7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7CEEF32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  <w:t>《生物医学新技术临床研究和临床转化应用 管理条例》常见问答（第一批）</w:t>
      </w:r>
      <mc:AlternateContent>
        <mc:Choice Requires="wpsCustomData">
          <wpsCustomData:docfieldEnd id="0"/>
        </mc:Choice>
      </mc:AlternateContent>
    </w:p>
    <w:bookmarkEnd w:id="0"/>
    <w:p w14:paraId="1A47B09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楷体_GBK" w:cs="方正楷体_GBK"/>
          <w:b w:val="0"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楷体_GBK" w:cs="方正楷体_GBK"/>
          <w:b w:val="0"/>
          <w:bCs w:val="0"/>
          <w:i w:val="0"/>
          <w:color w:val="000000"/>
          <w:sz w:val="28"/>
          <w:szCs w:val="28"/>
        </w:rPr>
        <w:t>来源：中国生物技术发展中心</w:t>
      </w:r>
      <w:r>
        <w:rPr>
          <w:rFonts w:hint="eastAsia" w:ascii="Times New Roman" w:hAnsi="Times New Roman" w:eastAsia="方正楷体_GBK" w:cs="方正楷体_GBK"/>
          <w:b w:val="0"/>
          <w:bCs w:val="0"/>
          <w:i w:val="0"/>
          <w:color w:val="000000"/>
          <w:sz w:val="28"/>
          <w:szCs w:val="28"/>
          <w:lang w:val="en-US" w:eastAsia="zh-CN"/>
        </w:rPr>
        <w:t xml:space="preserve">官网  </w:t>
      </w:r>
      <w:r>
        <w:rPr>
          <w:rFonts w:hint="eastAsia" w:ascii="Times New Roman" w:hAnsi="Times New Roman" w:eastAsia="方正楷体_GBK" w:cs="方正楷体_GBK"/>
          <w:b w:val="0"/>
          <w:bCs w:val="0"/>
          <w:i w:val="0"/>
          <w:color w:val="000000"/>
          <w:sz w:val="28"/>
          <w:szCs w:val="28"/>
        </w:rPr>
        <w:t>类别：</w:t>
      </w:r>
      <w:r>
        <w:rPr>
          <w:rFonts w:hint="eastAsia" w:ascii="Times New Roman" w:hAnsi="Times New Roman" w:eastAsia="方正楷体_GBK" w:cs="方正楷体_GBK"/>
          <w:b w:val="0"/>
          <w:bCs w:val="0"/>
          <w:i w:val="0"/>
          <w:color w:val="000000"/>
          <w:sz w:val="28"/>
          <w:szCs w:val="28"/>
          <w:lang w:val="en-US" w:eastAsia="zh-CN"/>
        </w:rPr>
        <w:t>转载</w:t>
      </w:r>
    </w:p>
    <w:p w14:paraId="18F1659C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Times New Roman" w:hAnsi="Times New Roman"/>
          <w:sz w:val="21"/>
          <w:szCs w:val="21"/>
        </w:rPr>
      </w:pPr>
    </w:p>
    <w:p w14:paraId="799ABEE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Fonts w:hint="eastAsia" w:ascii="Times New Roman" w:hAnsi="Times New Roman" w:eastAsia="方正黑体_GBK" w:cs="方正黑体_GBK"/>
          <w:b w:val="0"/>
          <w:bCs/>
          <w:color w:val="000000"/>
          <w:sz w:val="32"/>
          <w:szCs w:val="32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一、</w:t>
      </w: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</w:rPr>
        <w:t>在临床研究阶段与临床转化应用阶段，生物医学新技术与药品、医疗器械的界定方式是否一致？</w:t>
      </w:r>
    </w:p>
    <w:p w14:paraId="50B49CA2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两者属于不同阶段，界定方式不同。在临床研究阶段，临床研究发起机构应参照《生物医学新技术与药品、医疗器械界定指导原则（暂行）》及其附件《生物医学新技术临床研究备案指导清单（第1版）》（以下简称《指导清单》）自主界定。申报临床转化应用的生物医学新技术，应已列入《指导清单》，并符合《生物医学新技术临床转化应用审批工作规范（试行）》中的审批范围。</w:t>
      </w:r>
    </w:p>
    <w:p w14:paraId="1EFF137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</w:p>
    <w:p w14:paraId="78F3FDB1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二、若一项新技术尚未确定最终走药品注册或技术转化的路径，是否可以先按照《生物医学新技术临床研究和临床转化应用管理条例》（以下简称《条例》）进行备案后开展临床研究？</w:t>
      </w:r>
    </w:p>
    <w:p w14:paraId="4DD88495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答：可以。</w:t>
      </w:r>
    </w:p>
    <w:p w14:paraId="6CEB14B2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Times New Roman" w:hAnsi="Times New Roman"/>
          <w:sz w:val="21"/>
          <w:szCs w:val="21"/>
        </w:rPr>
      </w:pPr>
    </w:p>
    <w:p w14:paraId="7DA436C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三.开展生物医学新技术临床研究，是否需要在国家医学研究登记备案信息系统上单独对机构进行备案？</w:t>
      </w:r>
    </w:p>
    <w:p w14:paraId="3E298C73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答：不需要。</w:t>
      </w:r>
    </w:p>
    <w:p w14:paraId="5FA1DC94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Times New Roman" w:hAnsi="Times New Roman"/>
          <w:sz w:val="21"/>
          <w:szCs w:val="21"/>
        </w:rPr>
      </w:pPr>
    </w:p>
    <w:p w14:paraId="41F8C8C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pacing wpsCustomData:val="-6" w:val="2"/>
          <w:sz w:val="32"/>
          <w:szCs w:val="32"/>
          <w:lang w:val="en-US" w:eastAsia="zh-CN"/>
        </w:rPr>
        <w:t>四.</w:t>
      </w: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pacing wpsCustomData:val="-6" w:val="3"/>
          <w:sz w:val="32"/>
          <w:szCs w:val="32"/>
          <w:lang w:val="en-US" w:eastAsia="zh-CN"/>
        </w:rPr>
        <w:t>多中心临床研究的各个分中心是否均须为三级甲等医</w:t>
      </w: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pacing wpsCustomData:val="-6" w:val="-6"/>
          <w:sz w:val="32"/>
          <w:szCs w:val="32"/>
          <w:lang w:val="en-US" w:eastAsia="zh-CN"/>
        </w:rPr>
        <w:t>疗</w:t>
      </w: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机构？</w:t>
      </w:r>
    </w:p>
    <w:p w14:paraId="5E21CC78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答：是。</w:t>
      </w:r>
    </w:p>
    <w:p w14:paraId="02108456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Times New Roman" w:hAnsi="Times New Roman"/>
          <w:sz w:val="21"/>
          <w:szCs w:val="21"/>
        </w:rPr>
      </w:pPr>
    </w:p>
    <w:p w14:paraId="04754D7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五.依据《条例》进行备案并开展的临床研究，所得结果是否可直接用于后期药品或医疗器械注册？</w:t>
      </w:r>
    </w:p>
    <w:p w14:paraId="6AC780BF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答：生物医学新技术管理路径与药品、医疗器械管理路径属于两条相对独立的路径，分别适用不同规定。研究结果能否支持药械注册申请，需依据药械注册管理相关规定判定。</w:t>
      </w:r>
    </w:p>
    <w:p w14:paraId="23CCCDA7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Times New Roman" w:hAnsi="Times New Roman"/>
          <w:sz w:val="21"/>
          <w:szCs w:val="21"/>
        </w:rPr>
      </w:pPr>
    </w:p>
    <w:p w14:paraId="4684C9E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16"/>
        <w:textAlignment w:val="auto"/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</w:pPr>
      <w:r>
        <w:rPr>
          <w:rStyle w:val="19"/>
          <w:rFonts w:hint="eastAsia" w:ascii="Times New Roman" w:hAnsi="Times New Roman" w:eastAsia="方正黑体_GBK" w:cs="方正黑体_GBK"/>
          <w:b w:val="0"/>
          <w:bCs/>
          <w:i w:val="0"/>
          <w:color w:val="000000"/>
          <w:sz w:val="32"/>
          <w:szCs w:val="32"/>
          <w:lang w:val="en-US" w:eastAsia="zh-CN"/>
        </w:rPr>
        <w:t>六.临床研究机构在设置质量受权人岗位与聘用时，不同类别的生物医学新技术的质量受权人是否必须为不同人员？</w:t>
      </w:r>
    </w:p>
    <w:p w14:paraId="065C632B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olor w:val="000000"/>
          <w:sz w:val="32"/>
          <w:szCs w:val="32"/>
        </w:rPr>
        <w:t>答：不一定。不同技术类别的备案指引对对应技术的质量受权人提出相应要求，可根据技术特点、临床研究机构条件与人员实际情况等自行设置。</w:t>
      </w:r>
    </w:p>
    <w:p w14:paraId="3D5562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Times New Roman" w:hAnsi="Times New Roman"/>
        </w:rPr>
      </w:pPr>
    </w:p>
    <w:p w14:paraId="3E13AC0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                             </w:t>
      </w:r>
    </w:p>
    <w:p w14:paraId="6BAD4FC4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                                  2026年8月5日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D05A49BC-4DD8-4B9D-8F71-19128F23AD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5228FF9-8E58-4223-B243-8C11268C44A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0F67CC3-DF02-4A9C-B540-90137AB2888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553B0C92-DC8B-44CC-96DF-FC5A16D0ECF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2102CCF-A9DB-41C6-A336-FDC63508C8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1E5A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FE5AB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1FE5AB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AF20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FF29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2CFF29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46500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83092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437E9"/>
    <w:rsid w:val="006D6F13"/>
    <w:rsid w:val="0224187C"/>
    <w:rsid w:val="362E3F4B"/>
    <w:rsid w:val="538437E9"/>
    <w:rsid w:val="57BC68F3"/>
    <w:rsid w:val="5AF56A87"/>
    <w:rsid w:val="604B086F"/>
    <w:rsid w:val="6A55199D"/>
    <w:rsid w:val="6F5F4606"/>
    <w:rsid w:val="6FB1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font11"/>
    <w:basedOn w:val="18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7154</Words>
  <Characters>9366</Characters>
  <Lines>0</Lines>
  <Paragraphs>0</Paragraphs>
  <TotalTime>1</TotalTime>
  <ScaleCrop>false</ScaleCrop>
  <LinksUpToDate>false</LinksUpToDate>
  <CharactersWithSpaces>9528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2026-08-10T06:23:00Z</dcterms:created>
  <dc:creator>梦诺</dc:creator>
  <cp:lastModifiedBy>夏</cp:lastModifiedBy>
  <dcterms:modified xsi:type="dcterms:W3CDTF">2026-08-21T01:31:01Z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DCB05EA55CFE42E0899B5142C8D0C798_13</vt:lpwstr>
  </property>
  <property fmtid="{D5CDD505-2E9C-101B-9397-08002B2CF9AE}" pid="4" name="KSOTemplateDocerSaveRecord">
    <vt:lpwstr>eyJoZGlkIjoiZmZiYTRmNmRmYjA4Y2QwZTI2ODFhZDdkNDUzYzRlN2MiLCJ1c2VySWQiOiIxMTM5MTAzNjY5In0=</vt:lpwstr>
  </property>
</Properties>
</file>